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144" w:lineRule="auto"/>
        <w:jc w:val="center"/>
        <w:rPr>
          <w:rFonts w:ascii="Calibri" w:cs="Calibri" w:eastAsia="Calibri" w:hAnsi="Calibri"/>
          <w:b w:val="1"/>
          <w:color w:val="222222"/>
          <w:sz w:val="10"/>
          <w:szCs w:val="10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19 ottobre 2025 - GIORNATA MISSIONARIA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both"/>
        <w:rPr>
          <w:rFonts w:ascii="Calibri" w:cs="Calibri" w:eastAsia="Calibri" w:hAnsi="Calibri"/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L’evangelizzazione è sempre un processo comunitario, come il carattere della speranza cristiana (cfr Benedetto XVI, Lett. enc. </w:t>
      </w:r>
      <w:hyperlink r:id="rId6">
        <w:r w:rsidDel="00000000" w:rsidR="00000000" w:rsidRPr="00000000">
          <w:rPr>
            <w:rFonts w:ascii="Calibri" w:cs="Calibri" w:eastAsia="Calibri" w:hAnsi="Calibri"/>
            <w:i w:val="1"/>
            <w:color w:val="222222"/>
            <w:sz w:val="24"/>
            <w:szCs w:val="24"/>
            <w:rtl w:val="0"/>
          </w:rPr>
          <w:t xml:space="preserve">Spe Salvi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, 14). Tale processo non finisce con il primo annuncio e con il battesimo, bensì continua con la costruzione delle comunità cristiane attraverso l’accompagnamento di ogni battezzato nel cammino sulla via del Vangelo. Nella società moderna, l’appartenenza alla Chiesa non è mai una realtà acquisita una volta per tutte. Perciò l’azione missionaria di trasmettere e formare la fede matura in Cristo è «il paradigma di ogni opera della Chiesa» (Esort. ap. </w:t>
      </w:r>
      <w:hyperlink r:id="rId7">
        <w:r w:rsidDel="00000000" w:rsidR="00000000" w:rsidRPr="00000000">
          <w:rPr>
            <w:rFonts w:ascii="Calibri" w:cs="Calibri" w:eastAsia="Calibri" w:hAnsi="Calibri"/>
            <w:i w:val="1"/>
            <w:color w:val="222222"/>
            <w:sz w:val="24"/>
            <w:szCs w:val="24"/>
            <w:rtl w:val="0"/>
          </w:rPr>
          <w:t xml:space="preserve">Evangelii gaudium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, 15), un’opera che richiede comunione di preghiera e di azione. Insisto ancora su questa sinodalità missionaria della Chiesa, come pure sul servizio delle </w:t>
      </w:r>
      <w:hyperlink r:id="rId8">
        <w:r w:rsidDel="00000000" w:rsidR="00000000" w:rsidRPr="00000000">
          <w:rPr>
            <w:rFonts w:ascii="Calibri" w:cs="Calibri" w:eastAsia="Calibri" w:hAnsi="Calibri"/>
            <w:color w:val="222222"/>
            <w:sz w:val="24"/>
            <w:szCs w:val="24"/>
            <w:rtl w:val="0"/>
          </w:rPr>
          <w:t xml:space="preserve">Pontificie Opere Missionarie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nel promuovere la responsabilità missionaria dei battezzati e sostenere le nuove Chiese particolari. Ed esorto tutti voi, bambini, giovani, adulti, anziani, a partecipare attivamente alla comune missione evangelizzatrice con la testimonianza della vostra vita e con la preghiera, con i vostri sacrifici e la vostra generosità. Grazie di cuore di questo! Care sorelle e cari fratelli, rivolgiamoci a Maria, Madre di Gesù Cristo, nostra speranza. A Lei affidiamo l’auspicio per questo Giubileo e per gli anni futuri: «Possa la luce della speranza cristiana raggiungere ogni persona, come messaggio dell’amore di Dio rivolto a tutti! E possa la Chiesa essere testimone fedele di questo annuncio in ogni parte del mondo!» (Bolla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i w:val="1"/>
            <w:color w:val="222222"/>
            <w:sz w:val="24"/>
            <w:szCs w:val="24"/>
            <w:rtl w:val="0"/>
          </w:rPr>
          <w:t xml:space="preserve">Spes non confundit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, 6).</w:t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Calibri" w:cs="Calibri" w:eastAsia="Calibri" w:hAnsi="Calibri"/>
          <w:color w:val="22222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right"/>
        <w:rPr>
          <w:rFonts w:ascii="Calibri" w:cs="Calibri" w:eastAsia="Calibri" w:hAnsi="Calibri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(dal messaggio di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Papa Francesco)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vatican.va/content/francesco/it/bulls/documents/20240509_spes-non-confundit_bolla-giubileo2025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vatican.va/content/benedict-xvi/it/encyclicals/documents/hf_ben-xvi_enc_20071130_spe-salvi.html#14." TargetMode="External"/><Relationship Id="rId7" Type="http://schemas.openxmlformats.org/officeDocument/2006/relationships/hyperlink" Target="https://www.vatican.va/content/francesco/it/apost_exhortations/documents/papa-francesco_esortazione-ap_20131124_evangelii-gaudium.html#III.%E2%80%82La_nuova_evangelizzazione_per_la_trasmissione_della_fede" TargetMode="External"/><Relationship Id="rId8" Type="http://schemas.openxmlformats.org/officeDocument/2006/relationships/hyperlink" Target="https://www.ppoomm.va/i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