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e5e7eb" w:space="0" w:sz="0" w:val="none"/>
          <w:left w:color="e5e7eb" w:space="0" w:sz="0" w:val="none"/>
          <w:bottom w:color="e5e7eb" w:space="0" w:sz="0" w:val="none"/>
          <w:right w:color="e5e7eb" w:space="0" w:sz="0" w:val="none"/>
          <w:between w:color="e5e7eb" w:space="0" w:sz="0" w:val="none"/>
        </w:pBdr>
        <w:shd w:fill="ffffff" w:val="clear"/>
        <w:spacing w:line="83.99999999999999" w:lineRule="auto"/>
        <w:jc w:val="center"/>
        <w:rPr>
          <w:rFonts w:ascii="Calibri" w:cs="Calibri" w:eastAsia="Calibri" w:hAnsi="Calibri"/>
          <w:b w:val="1"/>
          <w:bCs w:val="1"/>
          <w:color w:val="e69138"/>
          <w:sz w:val="48"/>
          <w:szCs w:val="48"/>
        </w:rPr>
      </w:pPr>
      <w:r w:rsidDel="00000000" w:rsidR="00000000" w:rsidRPr="00000000">
        <w:rPr>
          <w:rFonts w:ascii="Calibri" w:cs="Calibri" w:eastAsia="Calibri" w:hAnsi="Calibri"/>
          <w:b w:val="1"/>
          <w:bCs w:val="1"/>
          <w:color w:val="e69138"/>
          <w:sz w:val="48"/>
          <w:szCs w:val="48"/>
          <w:rtl w:val="0"/>
        </w:rPr>
        <w:t xml:space="preserve">SAGRA</w:t>
      </w:r>
    </w:p>
    <w:p w:rsidR="00000000" w:rsidDel="00000000" w:rsidP="00000000" w:rsidRDefault="00000000" w:rsidRPr="00000000" w14:paraId="00000002">
      <w:pPr>
        <w:pBdr>
          <w:top w:color="e5e7eb" w:space="0" w:sz="0" w:val="none"/>
          <w:left w:color="e5e7eb" w:space="0" w:sz="0" w:val="none"/>
          <w:bottom w:color="e5e7eb" w:space="0" w:sz="0" w:val="none"/>
          <w:right w:color="e5e7eb" w:space="0" w:sz="0" w:val="none"/>
          <w:between w:color="e5e7eb" w:space="0" w:sz="0" w:val="none"/>
        </w:pBdr>
        <w:shd w:fill="ffffff" w:val="clear"/>
        <w:spacing w:line="167.99999999999997" w:lineRule="auto"/>
        <w:jc w:val="center"/>
        <w:rPr>
          <w:rFonts w:ascii="Calibri" w:cs="Calibri" w:eastAsia="Calibri" w:hAnsi="Calibri"/>
          <w:b w:val="1"/>
          <w:bCs w:val="1"/>
          <w:i w:val="1"/>
          <w:iCs w:val="1"/>
          <w:color w:val="e69138"/>
          <w:u w:val="single"/>
        </w:rPr>
      </w:pPr>
      <w:r w:rsidDel="00000000" w:rsidR="00000000" w:rsidRPr="00000000">
        <w:rPr>
          <w:rFonts w:ascii="Calibri" w:cs="Calibri" w:eastAsia="Calibri" w:hAnsi="Calibri"/>
          <w:b w:val="1"/>
          <w:bCs w:val="1"/>
          <w:i w:val="1"/>
          <w:iCs w:val="1"/>
          <w:color w:val="e69138"/>
          <w:u w:val="single"/>
          <w:rtl w:val="0"/>
        </w:rPr>
        <w:t xml:space="preserve">Festa della comunità nell’anniversario della dedicazione della chiesa 27/06/1982</w:t>
      </w:r>
    </w:p>
    <w:p w:rsidR="00000000" w:rsidDel="00000000" w:rsidP="00000000" w:rsidRDefault="00000000" w:rsidRPr="00000000" w14:paraId="00000003">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jc w:val="center"/>
        <w:rPr>
          <w:rFonts w:ascii="Calibri" w:cs="Calibri" w:eastAsia="Calibri" w:hAnsi="Calibri"/>
          <w:b w:val="1"/>
          <w:bCs w:val="1"/>
          <w:color w:val="222222"/>
          <w:sz w:val="12"/>
          <w:szCs w:val="12"/>
        </w:rPr>
      </w:pPr>
      <w:r w:rsidDel="00000000" w:rsidR="00000000" w:rsidRPr="00000000">
        <w:rPr>
          <w:rtl w:val="0"/>
        </w:rPr>
      </w:r>
    </w:p>
    <w:p w:rsidR="00000000" w:rsidDel="00000000" w:rsidP="00000000" w:rsidRDefault="00000000" w:rsidRPr="00000000" w14:paraId="00000004">
      <w:pPr>
        <w:pBdr>
          <w:top w:color="e5e7eb" w:space="0" w:sz="0" w:val="none"/>
          <w:left w:color="e5e7eb" w:space="0" w:sz="0" w:val="none"/>
          <w:bottom w:color="e5e7eb" w:space="0" w:sz="0" w:val="none"/>
          <w:right w:color="e5e7eb" w:space="0" w:sz="0" w:val="none"/>
          <w:between w:color="e5e7eb" w:space="0" w:sz="0" w:val="none"/>
        </w:pBdr>
        <w:shd w:fill="ffffff" w:val="clear"/>
        <w:spacing w:line="167.99999999999997" w:lineRule="auto"/>
        <w:jc w:val="both"/>
        <w:rPr>
          <w:rFonts w:ascii="Calibri" w:cs="Calibri" w:eastAsia="Calibri" w:hAnsi="Calibri"/>
          <w:color w:val="222222"/>
          <w:sz w:val="23"/>
          <w:szCs w:val="23"/>
          <w:highlight w:val="white"/>
        </w:rPr>
      </w:pPr>
      <w:r w:rsidDel="00000000" w:rsidR="00000000" w:rsidRPr="00000000">
        <w:rPr>
          <w:rFonts w:ascii="Calibri" w:cs="Calibri" w:eastAsia="Calibri" w:hAnsi="Calibri"/>
          <w:color w:val="222222"/>
          <w:sz w:val="23"/>
          <w:szCs w:val="23"/>
          <w:highlight w:val="white"/>
          <w:rtl w:val="0"/>
        </w:rPr>
        <w:t xml:space="preserve">La dedicazione di una chiesa è un rito risalente all’epoca dell’imperatore Costantino, quando con il suo editto sulla libertà religiosa (anno 313) permise ai cristiani di uscire dalle catacombe o dalle case private, e di costruirsi edifici sacri adibiti al proprio culto. L’avvenimento è descritto dallo storico Eusebio di Cesarea, vissuto nel IV secolo, con queste parole: </w:t>
      </w:r>
      <w:r w:rsidDel="00000000" w:rsidR="00000000" w:rsidRPr="00000000">
        <w:rPr>
          <w:rFonts w:ascii="Calibri" w:cs="Calibri" w:eastAsia="Calibri" w:hAnsi="Calibri"/>
          <w:i w:val="1"/>
          <w:iCs w:val="1"/>
          <w:color w:val="222222"/>
          <w:sz w:val="23"/>
          <w:szCs w:val="23"/>
          <w:highlight w:val="white"/>
          <w:rtl w:val="0"/>
        </w:rPr>
        <w:t xml:space="preserve">«Ebbe luogo uno spettacolo da tutti auspicato e desiderato: feste di dedicazione in ogni città, consacrazioni di chiese di nuova costruzione, riunioni, a questo scopo, di vescovi, concorso di genti da regioni lontane e straniere, sentimenti d’amicizia di un popolo verso l’altro, unione delle membra del corpo di Cristo in una sola armonia di partecipanti»</w:t>
      </w:r>
      <w:r w:rsidDel="00000000" w:rsidR="00000000" w:rsidRPr="00000000">
        <w:rPr>
          <w:rFonts w:ascii="Calibri" w:cs="Calibri" w:eastAsia="Calibri" w:hAnsi="Calibri"/>
          <w:color w:val="222222"/>
          <w:sz w:val="23"/>
          <w:szCs w:val="23"/>
          <w:highlight w:val="white"/>
          <w:rtl w:val="0"/>
        </w:rPr>
        <w:t xml:space="preserve">. Gratitudine, festa, partecipazione di tutto il popolo: sono i sentimenti che hanno guidato non solo le dedicazioni ma il ricordo dei loro anniversari.</w:t>
      </w:r>
    </w:p>
    <w:p w:rsidR="00000000" w:rsidDel="00000000" w:rsidP="00000000" w:rsidRDefault="00000000" w:rsidRPr="00000000" w14:paraId="00000005">
      <w:pPr>
        <w:pBdr>
          <w:top w:color="e5e7eb" w:space="0" w:sz="0" w:val="none"/>
          <w:left w:color="e5e7eb" w:space="0" w:sz="0" w:val="none"/>
          <w:bottom w:color="e5e7eb" w:space="0" w:sz="0" w:val="none"/>
          <w:right w:color="e5e7eb" w:space="0" w:sz="0" w:val="none"/>
          <w:between w:color="e5e7eb" w:space="0" w:sz="0" w:val="none"/>
        </w:pBdr>
        <w:shd w:fill="ffffff" w:val="clear"/>
        <w:spacing w:line="167.99999999999997" w:lineRule="auto"/>
        <w:jc w:val="both"/>
        <w:rPr>
          <w:rFonts w:ascii="Calibri" w:cs="Calibri" w:eastAsia="Calibri" w:hAnsi="Calibri"/>
          <w:color w:val="222222"/>
          <w:sz w:val="8"/>
          <w:szCs w:val="8"/>
          <w:highlight w:val="white"/>
        </w:rPr>
      </w:pPr>
      <w:r w:rsidDel="00000000" w:rsidR="00000000" w:rsidRPr="00000000">
        <w:rPr>
          <w:rtl w:val="0"/>
        </w:rPr>
      </w:r>
    </w:p>
    <w:p w:rsidR="00000000" w:rsidDel="00000000" w:rsidP="00000000" w:rsidRDefault="00000000" w:rsidRPr="00000000" w14:paraId="00000006">
      <w:pPr>
        <w:pBdr>
          <w:top w:color="e5e7eb" w:space="0" w:sz="0" w:val="none"/>
          <w:left w:color="e5e7eb" w:space="0" w:sz="0" w:val="none"/>
          <w:bottom w:color="e5e7eb" w:space="0" w:sz="0" w:val="none"/>
          <w:right w:color="e5e7eb" w:space="0" w:sz="0" w:val="none"/>
          <w:between w:color="e5e7eb" w:space="0" w:sz="0" w:val="none"/>
        </w:pBdr>
        <w:shd w:fill="ffffff" w:val="clear"/>
        <w:spacing w:line="167.99999999999997" w:lineRule="auto"/>
        <w:jc w:val="both"/>
        <w:rPr>
          <w:rFonts w:ascii="Calibri" w:cs="Calibri" w:eastAsia="Calibri" w:hAnsi="Calibri"/>
          <w:color w:val="222222"/>
          <w:sz w:val="23"/>
          <w:szCs w:val="23"/>
          <w:highlight w:val="white"/>
        </w:rPr>
      </w:pPr>
      <w:r w:rsidDel="00000000" w:rsidR="00000000" w:rsidRPr="00000000">
        <w:rPr>
          <w:rFonts w:ascii="Calibri" w:cs="Calibri" w:eastAsia="Calibri" w:hAnsi="Calibri"/>
          <w:color w:val="222222"/>
          <w:sz w:val="23"/>
          <w:szCs w:val="23"/>
          <w:highlight w:val="white"/>
          <w:rtl w:val="0"/>
        </w:rPr>
        <w:t xml:space="preserve">  Questa memoria ispira almeno tre riflessioni.</w:t>
      </w:r>
    </w:p>
    <w:p w:rsidR="00000000" w:rsidDel="00000000" w:rsidP="00000000" w:rsidRDefault="00000000" w:rsidRPr="00000000" w14:paraId="00000007">
      <w:pPr>
        <w:pBdr>
          <w:top w:color="e5e7eb" w:space="0" w:sz="0" w:val="none"/>
          <w:left w:color="e5e7eb" w:space="0" w:sz="0" w:val="none"/>
          <w:bottom w:color="e5e7eb" w:space="0" w:sz="0" w:val="none"/>
          <w:right w:color="e5e7eb" w:space="0" w:sz="0" w:val="none"/>
          <w:between w:color="e5e7eb" w:space="0" w:sz="0" w:val="none"/>
        </w:pBdr>
        <w:shd w:fill="ffffff" w:val="clear"/>
        <w:spacing w:line="167.99999999999997" w:lineRule="auto"/>
        <w:jc w:val="both"/>
        <w:rPr>
          <w:rFonts w:ascii="Calibri" w:cs="Calibri" w:eastAsia="Calibri" w:hAnsi="Calibri"/>
          <w:color w:val="222222"/>
          <w:sz w:val="2"/>
          <w:szCs w:val="2"/>
          <w:highlight w:val="white"/>
        </w:rPr>
      </w:pPr>
      <w:r w:rsidDel="00000000" w:rsidR="00000000" w:rsidRPr="00000000">
        <w:rPr>
          <w:rtl w:val="0"/>
        </w:rPr>
      </w:r>
    </w:p>
    <w:p w:rsidR="00000000" w:rsidDel="00000000" w:rsidP="00000000" w:rsidRDefault="00000000" w:rsidRPr="00000000" w14:paraId="00000008">
      <w:pPr>
        <w:pBdr>
          <w:top w:color="e5e7eb" w:space="0" w:sz="0" w:val="none"/>
          <w:left w:color="e5e7eb" w:space="0" w:sz="0" w:val="none"/>
          <w:bottom w:color="e5e7eb" w:space="0" w:sz="0" w:val="none"/>
          <w:right w:color="e5e7eb" w:space="0" w:sz="0" w:val="none"/>
          <w:between w:color="e5e7eb" w:space="0" w:sz="0" w:val="none"/>
        </w:pBdr>
        <w:shd w:fill="ffffff" w:val="clear"/>
        <w:spacing w:line="167.99999999999997" w:lineRule="auto"/>
        <w:jc w:val="both"/>
        <w:rPr>
          <w:rFonts w:ascii="Calibri" w:cs="Calibri" w:eastAsia="Calibri" w:hAnsi="Calibri"/>
          <w:color w:val="222222"/>
          <w:sz w:val="23"/>
          <w:szCs w:val="23"/>
          <w:highlight w:val="white"/>
        </w:rPr>
      </w:pPr>
      <w:r w:rsidDel="00000000" w:rsidR="00000000" w:rsidRPr="00000000">
        <w:rPr>
          <w:rFonts w:ascii="Calibri" w:cs="Calibri" w:eastAsia="Calibri" w:hAnsi="Calibri"/>
          <w:b w:val="1"/>
          <w:bCs w:val="1"/>
          <w:color w:val="e69138"/>
          <w:sz w:val="23"/>
          <w:szCs w:val="23"/>
          <w:highlight w:val="white"/>
          <w:rtl w:val="0"/>
        </w:rPr>
        <w:t xml:space="preserve">1</w:t>
      </w:r>
      <w:r w:rsidDel="00000000" w:rsidR="00000000" w:rsidRPr="00000000">
        <w:rPr>
          <w:rFonts w:ascii="Calibri" w:cs="Calibri" w:eastAsia="Calibri" w:hAnsi="Calibri"/>
          <w:color w:val="222222"/>
          <w:sz w:val="23"/>
          <w:szCs w:val="23"/>
          <w:highlight w:val="white"/>
          <w:rtl w:val="0"/>
        </w:rPr>
        <w:t xml:space="preserve">) Innanzitutto, paradossalmente, che Dio è presente ovunque. Egli non ha bisogno di un tempio di pietre per essere vicino agli uomini, è il Signore del cosmo e l’universo intero è la sua casa. Quando Israele era un popolo nomade non aveva templi, ma una </w:t>
      </w:r>
      <w:r w:rsidDel="00000000" w:rsidR="00000000" w:rsidRPr="00000000">
        <w:rPr>
          <w:rFonts w:ascii="Calibri" w:cs="Calibri" w:eastAsia="Calibri" w:hAnsi="Calibri"/>
          <w:i w:val="1"/>
          <w:iCs w:val="1"/>
          <w:color w:val="222222"/>
          <w:sz w:val="23"/>
          <w:szCs w:val="23"/>
          <w:highlight w:val="white"/>
          <w:rtl w:val="0"/>
        </w:rPr>
        <w:t xml:space="preserve">“tenda”</w:t>
      </w:r>
      <w:r w:rsidDel="00000000" w:rsidR="00000000" w:rsidRPr="00000000">
        <w:rPr>
          <w:rFonts w:ascii="Calibri" w:cs="Calibri" w:eastAsia="Calibri" w:hAnsi="Calibri"/>
          <w:color w:val="222222"/>
          <w:sz w:val="23"/>
          <w:szCs w:val="23"/>
          <w:highlight w:val="white"/>
          <w:rtl w:val="0"/>
        </w:rPr>
        <w:t xml:space="preserve"> (hekal) che si ripiegava e si spostava, come le altre tende della tribù. Confidavano in un Dio pellegrino, che lasciava le sue orme sulla strada percorsa dal popolo. La costruzione di un tempio non deve far pensare che imprigioniamo Dio, ma è il segno che egli abita in mezzo a noi.</w:t>
      </w:r>
    </w:p>
    <w:p w:rsidR="00000000" w:rsidDel="00000000" w:rsidP="00000000" w:rsidRDefault="00000000" w:rsidRPr="00000000" w14:paraId="00000009">
      <w:pPr>
        <w:pBdr>
          <w:top w:color="e5e7eb" w:space="0" w:sz="0" w:val="none"/>
          <w:left w:color="e5e7eb" w:space="0" w:sz="0" w:val="none"/>
          <w:bottom w:color="e5e7eb" w:space="0" w:sz="0" w:val="none"/>
          <w:right w:color="e5e7eb" w:space="0" w:sz="0" w:val="none"/>
          <w:between w:color="e5e7eb" w:space="0" w:sz="0" w:val="none"/>
        </w:pBdr>
        <w:shd w:fill="ffffff" w:val="clear"/>
        <w:spacing w:line="167.99999999999997" w:lineRule="auto"/>
        <w:jc w:val="both"/>
        <w:rPr>
          <w:rFonts w:ascii="Calibri" w:cs="Calibri" w:eastAsia="Calibri" w:hAnsi="Calibri"/>
          <w:color w:val="222222"/>
          <w:sz w:val="2"/>
          <w:szCs w:val="2"/>
          <w:highlight w:val="white"/>
        </w:rPr>
      </w:pPr>
      <w:r w:rsidDel="00000000" w:rsidR="00000000" w:rsidRPr="00000000">
        <w:rPr>
          <w:rtl w:val="0"/>
        </w:rPr>
      </w:r>
    </w:p>
    <w:p w:rsidR="00000000" w:rsidDel="00000000" w:rsidP="00000000" w:rsidRDefault="00000000" w:rsidRPr="00000000" w14:paraId="0000000A">
      <w:pPr>
        <w:pBdr>
          <w:top w:color="e5e7eb" w:space="0" w:sz="0" w:val="none"/>
          <w:left w:color="e5e7eb" w:space="0" w:sz="0" w:val="none"/>
          <w:bottom w:color="e5e7eb" w:space="0" w:sz="0" w:val="none"/>
          <w:right w:color="e5e7eb" w:space="0" w:sz="0" w:val="none"/>
          <w:between w:color="e5e7eb" w:space="0" w:sz="0" w:val="none"/>
        </w:pBdr>
        <w:shd w:fill="ffffff" w:val="clear"/>
        <w:spacing w:line="167.99999999999997" w:lineRule="auto"/>
        <w:jc w:val="both"/>
        <w:rPr>
          <w:rFonts w:ascii="Calibri" w:cs="Calibri" w:eastAsia="Calibri" w:hAnsi="Calibri"/>
          <w:color w:val="222222"/>
          <w:sz w:val="23"/>
          <w:szCs w:val="23"/>
          <w:highlight w:val="white"/>
        </w:rPr>
      </w:pPr>
      <w:r w:rsidDel="00000000" w:rsidR="00000000" w:rsidRPr="00000000">
        <w:rPr>
          <w:rFonts w:ascii="Calibri" w:cs="Calibri" w:eastAsia="Calibri" w:hAnsi="Calibri"/>
          <w:b w:val="1"/>
          <w:bCs w:val="1"/>
          <w:color w:val="e69138"/>
          <w:sz w:val="23"/>
          <w:szCs w:val="23"/>
          <w:highlight w:val="white"/>
          <w:rtl w:val="0"/>
        </w:rPr>
        <w:t xml:space="preserve">2</w:t>
      </w:r>
      <w:r w:rsidDel="00000000" w:rsidR="00000000" w:rsidRPr="00000000">
        <w:rPr>
          <w:rFonts w:ascii="Calibri" w:cs="Calibri" w:eastAsia="Calibri" w:hAnsi="Calibri"/>
          <w:color w:val="222222"/>
          <w:sz w:val="23"/>
          <w:szCs w:val="23"/>
          <w:highlight w:val="white"/>
          <w:rtl w:val="0"/>
        </w:rPr>
        <w:t xml:space="preserve">) La seconda riflessione porta a ricordare che il tempio cristiano è Cristo. Gesù stesso lo dice nel noto episodio della cacciata dei mercanti dal tempio (Gv 2,13-22). Il significato teologico di un una chiesa-edificio proviene dal fatto che al suo interno si ascolta la parola di Cristo e si celebra il suo mistero pasquale. Un rito antico prevedeva l’incisione sul pavimento della nuova chiesa di alcune lettere greco-latine come la </w:t>
      </w:r>
      <w:r w:rsidDel="00000000" w:rsidR="00000000" w:rsidRPr="00000000">
        <w:rPr>
          <w:rFonts w:ascii="Calibri" w:cs="Calibri" w:eastAsia="Calibri" w:hAnsi="Calibri"/>
          <w:b w:val="1"/>
          <w:bCs w:val="1"/>
          <w:color w:val="222222"/>
          <w:sz w:val="23"/>
          <w:szCs w:val="23"/>
          <w:highlight w:val="white"/>
          <w:rtl w:val="0"/>
        </w:rPr>
        <w:t xml:space="preserve">X</w:t>
      </w:r>
      <w:r w:rsidDel="00000000" w:rsidR="00000000" w:rsidRPr="00000000">
        <w:rPr>
          <w:rFonts w:ascii="Calibri" w:cs="Calibri" w:eastAsia="Calibri" w:hAnsi="Calibri"/>
          <w:color w:val="222222"/>
          <w:sz w:val="23"/>
          <w:szCs w:val="23"/>
          <w:highlight w:val="white"/>
          <w:rtl w:val="0"/>
        </w:rPr>
        <w:t xml:space="preserve">, che abbreviava la parola </w:t>
      </w:r>
      <w:r w:rsidDel="00000000" w:rsidR="00000000" w:rsidRPr="00000000">
        <w:rPr>
          <w:rFonts w:ascii="Calibri" w:cs="Calibri" w:eastAsia="Calibri" w:hAnsi="Calibri"/>
          <w:i w:val="1"/>
          <w:iCs w:val="1"/>
          <w:color w:val="222222"/>
          <w:sz w:val="23"/>
          <w:szCs w:val="23"/>
          <w:highlight w:val="white"/>
          <w:rtl w:val="0"/>
        </w:rPr>
        <w:t xml:space="preserve">Xristos</w:t>
      </w:r>
      <w:r w:rsidDel="00000000" w:rsidR="00000000" w:rsidRPr="00000000">
        <w:rPr>
          <w:rFonts w:ascii="Calibri" w:cs="Calibri" w:eastAsia="Calibri" w:hAnsi="Calibri"/>
          <w:color w:val="222222"/>
          <w:sz w:val="23"/>
          <w:szCs w:val="23"/>
          <w:highlight w:val="white"/>
          <w:rtl w:val="0"/>
        </w:rPr>
        <w:t xml:space="preserve"> (Cristo), mettendo ai lati l’</w:t>
      </w:r>
      <w:r w:rsidDel="00000000" w:rsidR="00000000" w:rsidRPr="00000000">
        <w:rPr>
          <w:rFonts w:ascii="Calibri" w:cs="Calibri" w:eastAsia="Calibri" w:hAnsi="Calibri"/>
          <w:i w:val="1"/>
          <w:iCs w:val="1"/>
          <w:color w:val="222222"/>
          <w:sz w:val="23"/>
          <w:szCs w:val="23"/>
          <w:highlight w:val="white"/>
          <w:rtl w:val="0"/>
        </w:rPr>
        <w:t xml:space="preserve">alfa</w:t>
      </w:r>
      <w:r w:rsidDel="00000000" w:rsidR="00000000" w:rsidRPr="00000000">
        <w:rPr>
          <w:rFonts w:ascii="Calibri" w:cs="Calibri" w:eastAsia="Calibri" w:hAnsi="Calibri"/>
          <w:color w:val="222222"/>
          <w:sz w:val="23"/>
          <w:szCs w:val="23"/>
          <w:highlight w:val="white"/>
          <w:rtl w:val="0"/>
        </w:rPr>
        <w:t xml:space="preserve"> e l’</w:t>
      </w:r>
      <w:r w:rsidDel="00000000" w:rsidR="00000000" w:rsidRPr="00000000">
        <w:rPr>
          <w:rFonts w:ascii="Calibri" w:cs="Calibri" w:eastAsia="Calibri" w:hAnsi="Calibri"/>
          <w:i w:val="1"/>
          <w:iCs w:val="1"/>
          <w:color w:val="222222"/>
          <w:sz w:val="23"/>
          <w:szCs w:val="23"/>
          <w:highlight w:val="white"/>
          <w:rtl w:val="0"/>
        </w:rPr>
        <w:t xml:space="preserve">omega</w:t>
      </w:r>
      <w:r w:rsidDel="00000000" w:rsidR="00000000" w:rsidRPr="00000000">
        <w:rPr>
          <w:rFonts w:ascii="Calibri" w:cs="Calibri" w:eastAsia="Calibri" w:hAnsi="Calibri"/>
          <w:color w:val="222222"/>
          <w:sz w:val="23"/>
          <w:szCs w:val="23"/>
          <w:highlight w:val="white"/>
          <w:rtl w:val="0"/>
        </w:rPr>
        <w:t xml:space="preserve"> di cui parla Apocalisse 22,13. Indicava che Cristo stesso prendeva possesso di quel luogo.</w:t>
      </w:r>
    </w:p>
    <w:p w:rsidR="00000000" w:rsidDel="00000000" w:rsidP="00000000" w:rsidRDefault="00000000" w:rsidRPr="00000000" w14:paraId="0000000B">
      <w:pPr>
        <w:pBdr>
          <w:top w:color="e5e7eb" w:space="0" w:sz="0" w:val="none"/>
          <w:left w:color="e5e7eb" w:space="0" w:sz="0" w:val="none"/>
          <w:bottom w:color="e5e7eb" w:space="0" w:sz="0" w:val="none"/>
          <w:right w:color="e5e7eb" w:space="0" w:sz="0" w:val="none"/>
          <w:between w:color="e5e7eb" w:space="0" w:sz="0" w:val="none"/>
        </w:pBdr>
        <w:shd w:fill="ffffff" w:val="clear"/>
        <w:spacing w:line="167.99999999999997" w:lineRule="auto"/>
        <w:jc w:val="both"/>
        <w:rPr>
          <w:rFonts w:ascii="Calibri" w:cs="Calibri" w:eastAsia="Calibri" w:hAnsi="Calibri"/>
          <w:color w:val="222222"/>
          <w:sz w:val="2"/>
          <w:szCs w:val="2"/>
          <w:highlight w:val="white"/>
        </w:rPr>
      </w:pPr>
      <w:r w:rsidDel="00000000" w:rsidR="00000000" w:rsidRPr="00000000">
        <w:rPr>
          <w:rtl w:val="0"/>
        </w:rPr>
      </w:r>
    </w:p>
    <w:p w:rsidR="00000000" w:rsidDel="00000000" w:rsidP="00000000" w:rsidRDefault="00000000" w:rsidRPr="00000000" w14:paraId="0000000C">
      <w:pPr>
        <w:pBdr>
          <w:top w:color="e5e7eb" w:space="0" w:sz="0" w:val="none"/>
          <w:left w:color="e5e7eb" w:space="0" w:sz="0" w:val="none"/>
          <w:bottom w:color="e5e7eb" w:space="0" w:sz="0" w:val="none"/>
          <w:right w:color="e5e7eb" w:space="0" w:sz="0" w:val="none"/>
          <w:between w:color="e5e7eb" w:space="0" w:sz="0" w:val="none"/>
        </w:pBdr>
        <w:shd w:fill="ffffff" w:val="clear"/>
        <w:spacing w:line="167.99999999999997" w:lineRule="auto"/>
        <w:jc w:val="both"/>
        <w:rPr>
          <w:rFonts w:ascii="Calibri" w:cs="Calibri" w:eastAsia="Calibri" w:hAnsi="Calibri"/>
          <w:b w:val="1"/>
          <w:bCs w:val="1"/>
          <w:color w:val="222222"/>
          <w:sz w:val="40"/>
          <w:szCs w:val="40"/>
        </w:rPr>
      </w:pPr>
      <w:r w:rsidDel="00000000" w:rsidR="00000000" w:rsidRPr="00000000">
        <w:rPr>
          <w:rFonts w:ascii="Calibri" w:cs="Calibri" w:eastAsia="Calibri" w:hAnsi="Calibri"/>
          <w:b w:val="1"/>
          <w:bCs w:val="1"/>
          <w:color w:val="e69138"/>
          <w:sz w:val="23"/>
          <w:szCs w:val="23"/>
          <w:highlight w:val="white"/>
          <w:rtl w:val="0"/>
        </w:rPr>
        <w:t xml:space="preserve">3</w:t>
      </w:r>
      <w:r w:rsidDel="00000000" w:rsidR="00000000" w:rsidRPr="00000000">
        <w:rPr>
          <w:rFonts w:ascii="Calibri" w:cs="Calibri" w:eastAsia="Calibri" w:hAnsi="Calibri"/>
          <w:color w:val="222222"/>
          <w:sz w:val="23"/>
          <w:szCs w:val="23"/>
          <w:highlight w:val="white"/>
          <w:rtl w:val="0"/>
        </w:rPr>
        <w:t xml:space="preserve">) La terza riflessione ci chiama in causa. Se i nostri edifici sacri si chiamano </w:t>
      </w:r>
      <w:r w:rsidDel="00000000" w:rsidR="00000000" w:rsidRPr="00000000">
        <w:rPr>
          <w:rFonts w:ascii="Calibri" w:cs="Calibri" w:eastAsia="Calibri" w:hAnsi="Calibri"/>
          <w:i w:val="1"/>
          <w:iCs w:val="1"/>
          <w:color w:val="222222"/>
          <w:sz w:val="23"/>
          <w:szCs w:val="23"/>
          <w:highlight w:val="white"/>
          <w:rtl w:val="0"/>
        </w:rPr>
        <w:t xml:space="preserve">“chiese” </w:t>
      </w:r>
      <w:r w:rsidDel="00000000" w:rsidR="00000000" w:rsidRPr="00000000">
        <w:rPr>
          <w:rFonts w:ascii="Calibri" w:cs="Calibri" w:eastAsia="Calibri" w:hAnsi="Calibri"/>
          <w:color w:val="222222"/>
          <w:sz w:val="23"/>
          <w:szCs w:val="23"/>
          <w:highlight w:val="white"/>
          <w:rtl w:val="0"/>
        </w:rPr>
        <w:t xml:space="preserve">è perché fin dall’origine sono stati percepiti come luoghi di raduno dell’assemblea (Chiesa dal greco </w:t>
      </w:r>
      <w:r w:rsidDel="00000000" w:rsidR="00000000" w:rsidRPr="00000000">
        <w:rPr>
          <w:rFonts w:ascii="Calibri" w:cs="Calibri" w:eastAsia="Calibri" w:hAnsi="Calibri"/>
          <w:i w:val="1"/>
          <w:iCs w:val="1"/>
          <w:color w:val="222222"/>
          <w:sz w:val="23"/>
          <w:szCs w:val="23"/>
          <w:highlight w:val="white"/>
          <w:rtl w:val="0"/>
        </w:rPr>
        <w:t xml:space="preserve">Ekklèsia</w:t>
      </w:r>
      <w:r w:rsidDel="00000000" w:rsidR="00000000" w:rsidRPr="00000000">
        <w:rPr>
          <w:rFonts w:ascii="Calibri" w:cs="Calibri" w:eastAsia="Calibri" w:hAnsi="Calibri"/>
          <w:color w:val="222222"/>
          <w:sz w:val="23"/>
          <w:szCs w:val="23"/>
          <w:highlight w:val="white"/>
          <w:rtl w:val="0"/>
        </w:rPr>
        <w:t xml:space="preserve"> si traduce con </w:t>
      </w:r>
      <w:r w:rsidDel="00000000" w:rsidR="00000000" w:rsidRPr="00000000">
        <w:rPr>
          <w:rFonts w:ascii="Calibri" w:cs="Calibri" w:eastAsia="Calibri" w:hAnsi="Calibri"/>
          <w:i w:val="1"/>
          <w:iCs w:val="1"/>
          <w:color w:val="222222"/>
          <w:sz w:val="23"/>
          <w:szCs w:val="23"/>
          <w:highlight w:val="white"/>
          <w:rtl w:val="0"/>
        </w:rPr>
        <w:t xml:space="preserve">“assemblea”</w:t>
      </w:r>
      <w:r w:rsidDel="00000000" w:rsidR="00000000" w:rsidRPr="00000000">
        <w:rPr>
          <w:rFonts w:ascii="Calibri" w:cs="Calibri" w:eastAsia="Calibri" w:hAnsi="Calibri"/>
          <w:color w:val="222222"/>
          <w:sz w:val="23"/>
          <w:szCs w:val="23"/>
          <w:highlight w:val="white"/>
          <w:rtl w:val="0"/>
        </w:rPr>
        <w:t xml:space="preserve">). L’idea è espressa da san Paolo quando dice: </w:t>
      </w:r>
      <w:r w:rsidDel="00000000" w:rsidR="00000000" w:rsidRPr="00000000">
        <w:rPr>
          <w:rFonts w:ascii="Calibri" w:cs="Calibri" w:eastAsia="Calibri" w:hAnsi="Calibri"/>
          <w:i w:val="1"/>
          <w:iCs w:val="1"/>
          <w:color w:val="222222"/>
          <w:sz w:val="23"/>
          <w:szCs w:val="23"/>
          <w:highlight w:val="white"/>
          <w:rtl w:val="0"/>
        </w:rPr>
        <w:t xml:space="preserve">«Voi siete il tempio di Dio»</w:t>
      </w:r>
      <w:r w:rsidDel="00000000" w:rsidR="00000000" w:rsidRPr="00000000">
        <w:rPr>
          <w:rFonts w:ascii="Calibri" w:cs="Calibri" w:eastAsia="Calibri" w:hAnsi="Calibri"/>
          <w:color w:val="222222"/>
          <w:sz w:val="23"/>
          <w:szCs w:val="23"/>
          <w:highlight w:val="white"/>
          <w:rtl w:val="0"/>
        </w:rPr>
        <w:t xml:space="preserve"> (1Cor 3,16). Ne deriva che non ha molto senso costruire belle chiese se poi restano vuote. Una chiesa di mattoni che non si anima riunendo la Chiesa di persone è destinata a diventare un monumento muto. La dedicazione di una chiesa-edificio o la memoria del suo anniversario rimanda dunque il mistero della Chiesa che noi siamo.</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